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911" w:rsidRPr="00DF5223" w:rsidRDefault="00F55774" w:rsidP="0044671B">
      <w:pPr>
        <w:spacing w:before="100" w:beforeAutospacing="1" w:after="100" w:afterAutospacing="1" w:line="240" w:lineRule="auto"/>
        <w:outlineLvl w:val="1"/>
        <w:rPr>
          <w:rFonts w:eastAsia="Times New Roman" w:cs="Times New Roman"/>
          <w:b/>
          <w:bCs/>
          <w:sz w:val="32"/>
          <w:szCs w:val="32"/>
        </w:rPr>
      </w:pPr>
      <w:r w:rsidRPr="00DF5223">
        <w:rPr>
          <w:rFonts w:eastAsia="Times New Roman" w:cs="Times New Roman"/>
          <w:b/>
          <w:bCs/>
          <w:noProof/>
          <w:sz w:val="32"/>
          <w:szCs w:val="32"/>
        </w:rPr>
        <w:drawing>
          <wp:anchor distT="0" distB="0" distL="114300" distR="114300" simplePos="0" relativeHeight="251658240" behindDoc="0" locked="0" layoutInCell="1" allowOverlap="1">
            <wp:simplePos x="0" y="0"/>
            <wp:positionH relativeFrom="column">
              <wp:posOffset>2907030</wp:posOffset>
            </wp:positionH>
            <wp:positionV relativeFrom="paragraph">
              <wp:posOffset>266700</wp:posOffset>
            </wp:positionV>
            <wp:extent cx="2198370" cy="1531620"/>
            <wp:effectExtent l="1905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l="53532" t="39876" r="21887" b="38743"/>
                    <a:stretch>
                      <a:fillRect/>
                    </a:stretch>
                  </pic:blipFill>
                  <pic:spPr bwMode="auto">
                    <a:xfrm>
                      <a:off x="0" y="0"/>
                      <a:ext cx="2198370" cy="1531620"/>
                    </a:xfrm>
                    <a:prstGeom prst="rect">
                      <a:avLst/>
                    </a:prstGeom>
                    <a:noFill/>
                    <a:ln w="9525">
                      <a:noFill/>
                      <a:miter lim="800000"/>
                      <a:headEnd/>
                      <a:tailEnd/>
                    </a:ln>
                  </pic:spPr>
                </pic:pic>
              </a:graphicData>
            </a:graphic>
          </wp:anchor>
        </w:drawing>
      </w:r>
      <w:r w:rsidR="00C72911" w:rsidRPr="00DF5223">
        <w:rPr>
          <w:rFonts w:eastAsia="Times New Roman" w:cs="Times New Roman"/>
          <w:b/>
          <w:bCs/>
          <w:sz w:val="32"/>
          <w:szCs w:val="32"/>
        </w:rPr>
        <w:t xml:space="preserve">South Sturgeon </w:t>
      </w:r>
      <w:r w:rsidR="00AD3CCB" w:rsidRPr="00DF5223">
        <w:rPr>
          <w:rFonts w:eastAsia="Times New Roman" w:cs="Times New Roman"/>
          <w:b/>
          <w:bCs/>
          <w:sz w:val="32"/>
          <w:szCs w:val="32"/>
        </w:rPr>
        <w:t>Lake</w:t>
      </w:r>
    </w:p>
    <w:p w:rsidR="00181A29" w:rsidRPr="00FE3285" w:rsidRDefault="00181A29" w:rsidP="00181A29">
      <w:pPr>
        <w:tabs>
          <w:tab w:val="left" w:pos="1890"/>
        </w:tabs>
        <w:spacing w:after="0" w:line="240" w:lineRule="auto"/>
        <w:rPr>
          <w:rFonts w:eastAsia="Times New Roman" w:cs="Times New Roman"/>
          <w:szCs w:val="24"/>
        </w:rPr>
      </w:pPr>
      <w:r w:rsidRPr="00FE3285">
        <w:rPr>
          <w:rFonts w:eastAsia="Times New Roman" w:cs="Times New Roman"/>
          <w:szCs w:val="24"/>
        </w:rPr>
        <w:t xml:space="preserve">DNR Lake ID: </w:t>
      </w:r>
      <w:r w:rsidRPr="00FE3285">
        <w:rPr>
          <w:rFonts w:eastAsia="Times New Roman" w:cs="Times New Roman"/>
          <w:szCs w:val="24"/>
        </w:rPr>
        <w:tab/>
        <w:t>31-0003-00</w:t>
      </w:r>
      <w:r w:rsidR="00DF5223">
        <w:rPr>
          <w:rFonts w:eastAsia="Times New Roman" w:cs="Times New Roman"/>
          <w:szCs w:val="24"/>
        </w:rPr>
        <w:t>-201</w:t>
      </w:r>
    </w:p>
    <w:p w:rsidR="00AD3CCB" w:rsidRPr="00FE3285" w:rsidRDefault="00AD3CCB" w:rsidP="00AD3CCB">
      <w:pPr>
        <w:tabs>
          <w:tab w:val="left" w:pos="1890"/>
        </w:tabs>
        <w:spacing w:after="0" w:line="240" w:lineRule="auto"/>
        <w:rPr>
          <w:rFonts w:eastAsia="Times New Roman" w:cs="Times New Roman"/>
          <w:szCs w:val="24"/>
        </w:rPr>
      </w:pPr>
      <w:r w:rsidRPr="00FE3285">
        <w:rPr>
          <w:rFonts w:eastAsia="Times New Roman" w:cs="Times New Roman"/>
          <w:szCs w:val="24"/>
        </w:rPr>
        <w:t xml:space="preserve">County: </w:t>
      </w:r>
      <w:r w:rsidRPr="00FE3285">
        <w:rPr>
          <w:rFonts w:eastAsia="Times New Roman" w:cs="Times New Roman"/>
          <w:szCs w:val="24"/>
        </w:rPr>
        <w:tab/>
        <w:t>Itasca</w:t>
      </w:r>
    </w:p>
    <w:p w:rsidR="00F55774" w:rsidRPr="00FE3285" w:rsidRDefault="00F55774" w:rsidP="00F55774">
      <w:pPr>
        <w:tabs>
          <w:tab w:val="left" w:pos="1890"/>
        </w:tabs>
        <w:spacing w:after="0" w:line="240" w:lineRule="auto"/>
        <w:rPr>
          <w:rFonts w:eastAsia="Times New Roman" w:cs="Times New Roman"/>
          <w:szCs w:val="24"/>
        </w:rPr>
      </w:pPr>
      <w:r w:rsidRPr="00FE3285">
        <w:rPr>
          <w:rFonts w:eastAsia="Times New Roman" w:cs="Times New Roman"/>
          <w:szCs w:val="24"/>
        </w:rPr>
        <w:t xml:space="preserve">Major Watershed: </w:t>
      </w:r>
      <w:r w:rsidRPr="00FE3285">
        <w:rPr>
          <w:rFonts w:eastAsia="Times New Roman" w:cs="Times New Roman"/>
          <w:szCs w:val="24"/>
        </w:rPr>
        <w:tab/>
        <w:t>Little Fork River</w:t>
      </w:r>
    </w:p>
    <w:p w:rsidR="00AD3CCB" w:rsidRPr="00FE3285" w:rsidRDefault="00AD3CCB" w:rsidP="00AD3CCB">
      <w:pPr>
        <w:tabs>
          <w:tab w:val="left" w:pos="1890"/>
        </w:tabs>
        <w:spacing w:after="0" w:line="240" w:lineRule="auto"/>
        <w:rPr>
          <w:rFonts w:eastAsia="Times New Roman" w:cs="Times New Roman"/>
          <w:szCs w:val="24"/>
        </w:rPr>
      </w:pPr>
      <w:r w:rsidRPr="00FE3285">
        <w:rPr>
          <w:rFonts w:eastAsia="Times New Roman" w:cs="Times New Roman"/>
          <w:szCs w:val="24"/>
        </w:rPr>
        <w:t xml:space="preserve">Ecoregion: </w:t>
      </w:r>
      <w:r w:rsidRPr="00FE3285">
        <w:rPr>
          <w:rFonts w:eastAsia="Times New Roman" w:cs="Times New Roman"/>
          <w:szCs w:val="24"/>
        </w:rPr>
        <w:tab/>
        <w:t>Northern Lakes and Forests</w:t>
      </w:r>
    </w:p>
    <w:p w:rsidR="00F55774" w:rsidRPr="00FE3285" w:rsidRDefault="00F55774" w:rsidP="00F55774">
      <w:pPr>
        <w:tabs>
          <w:tab w:val="left" w:pos="1890"/>
        </w:tabs>
        <w:spacing w:after="0" w:line="240" w:lineRule="auto"/>
        <w:rPr>
          <w:rFonts w:eastAsia="Times New Roman" w:cs="Times New Roman"/>
          <w:szCs w:val="24"/>
        </w:rPr>
      </w:pPr>
      <w:r w:rsidRPr="00FE3285">
        <w:rPr>
          <w:rFonts w:eastAsia="Times New Roman" w:cs="Times New Roman"/>
          <w:szCs w:val="24"/>
        </w:rPr>
        <w:t xml:space="preserve">Surface Area: </w:t>
      </w:r>
      <w:r w:rsidRPr="00FE3285">
        <w:rPr>
          <w:rFonts w:eastAsia="Times New Roman" w:cs="Times New Roman"/>
          <w:szCs w:val="24"/>
        </w:rPr>
        <w:tab/>
        <w:t>199 acres</w:t>
      </w:r>
    </w:p>
    <w:p w:rsidR="00F55774" w:rsidRPr="00FE3285" w:rsidRDefault="00F55774" w:rsidP="00F55774">
      <w:pPr>
        <w:tabs>
          <w:tab w:val="left" w:pos="1890"/>
        </w:tabs>
        <w:spacing w:after="0" w:line="240" w:lineRule="auto"/>
        <w:rPr>
          <w:rFonts w:eastAsia="Times New Roman" w:cs="Times New Roman"/>
          <w:szCs w:val="24"/>
        </w:rPr>
      </w:pPr>
      <w:r w:rsidRPr="00FE3285">
        <w:rPr>
          <w:rFonts w:eastAsia="Times New Roman" w:cs="Times New Roman"/>
          <w:szCs w:val="24"/>
        </w:rPr>
        <w:t xml:space="preserve">Maximum Depth: </w:t>
      </w:r>
      <w:r w:rsidRPr="00FE3285">
        <w:rPr>
          <w:rFonts w:eastAsia="Times New Roman" w:cs="Times New Roman"/>
          <w:szCs w:val="24"/>
        </w:rPr>
        <w:tab/>
        <w:t>43 feet</w:t>
      </w:r>
    </w:p>
    <w:p w:rsidR="00F55774" w:rsidRPr="00DF5223" w:rsidRDefault="00575002" w:rsidP="00F55774">
      <w:pPr>
        <w:tabs>
          <w:tab w:val="left" w:pos="1890"/>
        </w:tabs>
        <w:spacing w:after="0" w:line="240" w:lineRule="auto"/>
        <w:rPr>
          <w:rFonts w:eastAsia="Times New Roman" w:cs="Times New Roman"/>
          <w:color w:val="FF0000"/>
          <w:szCs w:val="24"/>
        </w:rPr>
      </w:pPr>
      <w:r>
        <w:rPr>
          <w:rFonts w:eastAsia="Times New Roman" w:cs="Times New Roman"/>
          <w:szCs w:val="24"/>
        </w:rPr>
        <w:t xml:space="preserve">Water Quality Data:  </w:t>
      </w:r>
      <w:r w:rsidR="00CB3E24" w:rsidRPr="00CB3E24">
        <w:rPr>
          <w:rFonts w:eastAsia="Times New Roman" w:cs="Times New Roman"/>
          <w:szCs w:val="24"/>
        </w:rPr>
        <w:t>5</w:t>
      </w:r>
      <w:r w:rsidR="00F55774" w:rsidRPr="00CB3E24">
        <w:rPr>
          <w:rFonts w:eastAsia="Times New Roman" w:cs="Times New Roman"/>
          <w:szCs w:val="24"/>
        </w:rPr>
        <w:t xml:space="preserve"> years</w:t>
      </w:r>
    </w:p>
    <w:p w:rsidR="00F55774" w:rsidRPr="00CB3E24" w:rsidRDefault="00CB3E24" w:rsidP="00F55774">
      <w:pPr>
        <w:tabs>
          <w:tab w:val="left" w:pos="1890"/>
        </w:tabs>
        <w:spacing w:after="0" w:line="240" w:lineRule="auto"/>
        <w:rPr>
          <w:rFonts w:eastAsia="Times New Roman" w:cs="Times New Roman"/>
          <w:szCs w:val="24"/>
        </w:rPr>
      </w:pPr>
      <w:r w:rsidRPr="00CB3E24">
        <w:rPr>
          <w:rFonts w:eastAsia="Times New Roman" w:cs="Times New Roman"/>
          <w:szCs w:val="24"/>
        </w:rPr>
        <w:t xml:space="preserve">Secchi Data:  </w:t>
      </w:r>
      <w:r w:rsidRPr="00CB3E24">
        <w:rPr>
          <w:rFonts w:eastAsia="Times New Roman" w:cs="Times New Roman"/>
          <w:szCs w:val="24"/>
        </w:rPr>
        <w:tab/>
        <w:t>29</w:t>
      </w:r>
      <w:r w:rsidR="00F55774" w:rsidRPr="00CB3E24">
        <w:rPr>
          <w:rFonts w:eastAsia="Times New Roman" w:cs="Times New Roman"/>
          <w:szCs w:val="24"/>
        </w:rPr>
        <w:t xml:space="preserve"> years</w:t>
      </w:r>
    </w:p>
    <w:p w:rsidR="00F55774" w:rsidRDefault="00F55774" w:rsidP="00F55774">
      <w:pPr>
        <w:spacing w:after="0" w:line="240" w:lineRule="auto"/>
        <w:rPr>
          <w:rFonts w:eastAsia="Times New Roman" w:cs="Times New Roman"/>
          <w:sz w:val="18"/>
          <w:szCs w:val="24"/>
        </w:rPr>
      </w:pPr>
    </w:p>
    <w:p w:rsidR="00103D84" w:rsidRDefault="00103D84" w:rsidP="00F55774">
      <w:pPr>
        <w:spacing w:after="0" w:line="240" w:lineRule="auto"/>
        <w:rPr>
          <w:rFonts w:eastAsia="Times New Roman" w:cs="Times New Roman"/>
          <w:sz w:val="18"/>
          <w:szCs w:val="24"/>
        </w:rPr>
      </w:pPr>
    </w:p>
    <w:p w:rsidR="00103D84" w:rsidRPr="00FE3285" w:rsidRDefault="00103D84" w:rsidP="00F55774">
      <w:pPr>
        <w:spacing w:after="0" w:line="240" w:lineRule="auto"/>
        <w:rPr>
          <w:rFonts w:eastAsia="Times New Roman" w:cs="Times New Roman"/>
          <w:sz w:val="18"/>
          <w:szCs w:val="24"/>
        </w:rPr>
      </w:pPr>
    </w:p>
    <w:p w:rsidR="00033682" w:rsidRPr="00277405" w:rsidRDefault="00DF5223" w:rsidP="00E354D0">
      <w:pPr>
        <w:pStyle w:val="Heading2"/>
        <w:spacing w:before="120" w:beforeAutospacing="0" w:after="60" w:afterAutospacing="0"/>
        <w:rPr>
          <w:rFonts w:asciiTheme="minorHAnsi" w:hAnsiTheme="minorHAnsi"/>
          <w:sz w:val="22"/>
          <w:szCs w:val="22"/>
        </w:rPr>
      </w:pPr>
      <w:r>
        <w:rPr>
          <w:rFonts w:asciiTheme="minorHAnsi" w:hAnsiTheme="minorHAnsi"/>
          <w:sz w:val="22"/>
          <w:szCs w:val="22"/>
        </w:rPr>
        <w:t>2015</w:t>
      </w:r>
      <w:r w:rsidR="00033682">
        <w:rPr>
          <w:rFonts w:asciiTheme="minorHAnsi" w:hAnsiTheme="minorHAnsi"/>
          <w:sz w:val="22"/>
          <w:szCs w:val="22"/>
        </w:rPr>
        <w:t xml:space="preserve"> </w:t>
      </w:r>
      <w:r w:rsidR="00033682" w:rsidRPr="00277405">
        <w:rPr>
          <w:rFonts w:asciiTheme="minorHAnsi" w:hAnsiTheme="minorHAnsi"/>
          <w:sz w:val="22"/>
          <w:szCs w:val="22"/>
        </w:rPr>
        <w:t>Water Quality Summary</w:t>
      </w:r>
    </w:p>
    <w:p w:rsidR="00AD5775" w:rsidRDefault="00DF5223" w:rsidP="002E63DE">
      <w:pPr>
        <w:pStyle w:val="NormalWeb"/>
        <w:spacing w:before="0" w:beforeAutospacing="0"/>
        <w:rPr>
          <w:rFonts w:asciiTheme="minorHAnsi" w:hAnsiTheme="minorHAnsi"/>
          <w:sz w:val="22"/>
          <w:szCs w:val="22"/>
        </w:rPr>
      </w:pPr>
      <w:r>
        <w:rPr>
          <w:rFonts w:asciiTheme="minorHAnsi" w:hAnsiTheme="minorHAnsi"/>
          <w:sz w:val="22"/>
          <w:szCs w:val="22"/>
        </w:rPr>
        <w:t>Clarity monitoring</w:t>
      </w:r>
      <w:r w:rsidR="00033682">
        <w:rPr>
          <w:rFonts w:asciiTheme="minorHAnsi" w:hAnsiTheme="minorHAnsi"/>
          <w:sz w:val="22"/>
          <w:szCs w:val="22"/>
        </w:rPr>
        <w:t xml:space="preserve"> results</w:t>
      </w:r>
      <w:r w:rsidR="00EC1C9A">
        <w:rPr>
          <w:rFonts w:asciiTheme="minorHAnsi" w:hAnsiTheme="minorHAnsi"/>
          <w:sz w:val="22"/>
          <w:szCs w:val="22"/>
        </w:rPr>
        <w:t xml:space="preserve"> </w:t>
      </w:r>
      <w:r w:rsidR="00033682">
        <w:rPr>
          <w:rFonts w:asciiTheme="minorHAnsi" w:hAnsiTheme="minorHAnsi"/>
          <w:sz w:val="22"/>
          <w:szCs w:val="22"/>
        </w:rPr>
        <w:t>fo</w:t>
      </w:r>
      <w:r w:rsidR="00415733">
        <w:rPr>
          <w:rFonts w:asciiTheme="minorHAnsi" w:hAnsiTheme="minorHAnsi"/>
          <w:sz w:val="22"/>
          <w:szCs w:val="22"/>
        </w:rPr>
        <w:t xml:space="preserve">r South Sturgeon Lake </w:t>
      </w:r>
      <w:r>
        <w:rPr>
          <w:rFonts w:asciiTheme="minorHAnsi" w:hAnsiTheme="minorHAnsi"/>
          <w:sz w:val="22"/>
          <w:szCs w:val="22"/>
        </w:rPr>
        <w:t>were very close to</w:t>
      </w:r>
      <w:r w:rsidR="00033682">
        <w:rPr>
          <w:rFonts w:asciiTheme="minorHAnsi" w:hAnsiTheme="minorHAnsi"/>
          <w:sz w:val="22"/>
          <w:szCs w:val="22"/>
        </w:rPr>
        <w:t xml:space="preserve"> the lake’s historical average </w:t>
      </w:r>
      <w:r>
        <w:rPr>
          <w:rFonts w:asciiTheme="minorHAnsi" w:hAnsiTheme="minorHAnsi"/>
          <w:sz w:val="22"/>
          <w:szCs w:val="22"/>
        </w:rPr>
        <w:t>in 2015</w:t>
      </w:r>
      <w:r w:rsidR="00415733">
        <w:rPr>
          <w:rFonts w:asciiTheme="minorHAnsi" w:hAnsiTheme="minorHAnsi"/>
          <w:sz w:val="22"/>
          <w:szCs w:val="22"/>
        </w:rPr>
        <w:t xml:space="preserve">.  Meanwhile, the water clarity </w:t>
      </w:r>
      <w:r w:rsidR="005D1C64">
        <w:rPr>
          <w:rFonts w:asciiTheme="minorHAnsi" w:hAnsiTheme="minorHAnsi"/>
          <w:sz w:val="22"/>
          <w:szCs w:val="22"/>
        </w:rPr>
        <w:t xml:space="preserve">average was quite low </w:t>
      </w:r>
      <w:r w:rsidR="00415733">
        <w:rPr>
          <w:rFonts w:asciiTheme="minorHAnsi" w:hAnsiTheme="minorHAnsi"/>
          <w:sz w:val="22"/>
          <w:szCs w:val="22"/>
        </w:rPr>
        <w:t>for 2014</w:t>
      </w:r>
      <w:r w:rsidR="00103D84">
        <w:rPr>
          <w:rFonts w:asciiTheme="minorHAnsi" w:hAnsiTheme="minorHAnsi"/>
          <w:sz w:val="22"/>
          <w:szCs w:val="22"/>
        </w:rPr>
        <w:t>, and high in 2013</w:t>
      </w:r>
      <w:r w:rsidR="00415733" w:rsidRPr="00103D84">
        <w:rPr>
          <w:rFonts w:asciiTheme="minorHAnsi" w:hAnsiTheme="minorHAnsi"/>
          <w:sz w:val="22"/>
          <w:szCs w:val="22"/>
        </w:rPr>
        <w:t xml:space="preserve">.  </w:t>
      </w:r>
      <w:r w:rsidR="00103D84" w:rsidRPr="00103D84">
        <w:rPr>
          <w:rFonts w:asciiTheme="minorHAnsi" w:hAnsiTheme="minorHAnsi"/>
          <w:sz w:val="22"/>
          <w:szCs w:val="22"/>
        </w:rPr>
        <w:t xml:space="preserve">In recent years the secchi </w:t>
      </w:r>
      <w:r w:rsidR="00103D84">
        <w:rPr>
          <w:rFonts w:asciiTheme="minorHAnsi" w:hAnsiTheme="minorHAnsi"/>
          <w:sz w:val="22"/>
          <w:szCs w:val="22"/>
        </w:rPr>
        <w:t xml:space="preserve">depth (clarity) </w:t>
      </w:r>
      <w:r w:rsidR="00103D84" w:rsidRPr="00103D84">
        <w:rPr>
          <w:rFonts w:asciiTheme="minorHAnsi" w:hAnsiTheme="minorHAnsi"/>
          <w:sz w:val="22"/>
          <w:szCs w:val="22"/>
        </w:rPr>
        <w:t>seems to be fluctuating quite a bit.</w:t>
      </w:r>
      <w:r w:rsidR="00103D84">
        <w:rPr>
          <w:rFonts w:asciiTheme="minorHAnsi" w:hAnsiTheme="minorHAnsi"/>
          <w:color w:val="FF0000"/>
          <w:sz w:val="22"/>
          <w:szCs w:val="22"/>
        </w:rPr>
        <w:t xml:space="preserve"> </w:t>
      </w:r>
      <w:r w:rsidR="00103D84" w:rsidRPr="00E25547">
        <w:rPr>
          <w:rFonts w:asciiTheme="minorHAnsi" w:hAnsiTheme="minorHAnsi"/>
          <w:sz w:val="22"/>
          <w:szCs w:val="22"/>
        </w:rPr>
        <w:t>Total Phosphorus and Chlorophyll-a were not monitored for 2</w:t>
      </w:r>
      <w:r w:rsidR="009D1F6A">
        <w:rPr>
          <w:rFonts w:asciiTheme="minorHAnsi" w:hAnsiTheme="minorHAnsi"/>
          <w:sz w:val="22"/>
          <w:szCs w:val="22"/>
        </w:rPr>
        <w:t>015</w:t>
      </w:r>
      <w:r w:rsidR="00415733" w:rsidRPr="00E25547">
        <w:rPr>
          <w:rFonts w:asciiTheme="minorHAnsi" w:hAnsiTheme="minorHAnsi"/>
          <w:sz w:val="22"/>
          <w:szCs w:val="22"/>
        </w:rPr>
        <w:t xml:space="preserve">, however </w:t>
      </w:r>
      <w:r w:rsidR="00845C76" w:rsidRPr="00E25547">
        <w:rPr>
          <w:rFonts w:asciiTheme="minorHAnsi" w:hAnsiTheme="minorHAnsi"/>
          <w:sz w:val="22"/>
          <w:szCs w:val="22"/>
        </w:rPr>
        <w:t xml:space="preserve">the </w:t>
      </w:r>
      <w:r w:rsidR="009D1F6A">
        <w:rPr>
          <w:rFonts w:asciiTheme="minorHAnsi" w:hAnsiTheme="minorHAnsi"/>
          <w:sz w:val="22"/>
          <w:szCs w:val="22"/>
        </w:rPr>
        <w:t>lake should be monitored intermittently</w:t>
      </w:r>
      <w:r w:rsidR="00CB5622">
        <w:rPr>
          <w:rFonts w:asciiTheme="minorHAnsi" w:hAnsiTheme="minorHAnsi"/>
          <w:sz w:val="22"/>
          <w:szCs w:val="22"/>
        </w:rPr>
        <w:t xml:space="preserve"> as funding allows</w:t>
      </w:r>
      <w:r w:rsidR="00845C76" w:rsidRPr="00E25547">
        <w:rPr>
          <w:rFonts w:asciiTheme="minorHAnsi" w:hAnsiTheme="minorHAnsi"/>
          <w:sz w:val="22"/>
          <w:szCs w:val="22"/>
        </w:rPr>
        <w:t xml:space="preserve"> in the future</w:t>
      </w:r>
      <w:r w:rsidR="00CB5622">
        <w:rPr>
          <w:rFonts w:asciiTheme="minorHAnsi" w:hAnsiTheme="minorHAnsi"/>
          <w:sz w:val="22"/>
          <w:szCs w:val="22"/>
        </w:rPr>
        <w:t>, which would contribute</w:t>
      </w:r>
      <w:r w:rsidR="005D1C64" w:rsidRPr="00E25547">
        <w:rPr>
          <w:rFonts w:asciiTheme="minorHAnsi" w:hAnsiTheme="minorHAnsi"/>
          <w:sz w:val="22"/>
          <w:szCs w:val="22"/>
        </w:rPr>
        <w:t xml:space="preserve"> to a reliable trend</w:t>
      </w:r>
      <w:r w:rsidR="00966353" w:rsidRPr="00E25547">
        <w:rPr>
          <w:rFonts w:asciiTheme="minorHAnsi" w:hAnsiTheme="minorHAnsi"/>
          <w:sz w:val="22"/>
          <w:szCs w:val="22"/>
        </w:rPr>
        <w:t xml:space="preserve">. </w:t>
      </w:r>
      <w:r w:rsidR="00966353">
        <w:rPr>
          <w:rFonts w:asciiTheme="minorHAnsi" w:hAnsiTheme="minorHAnsi"/>
          <w:sz w:val="22"/>
          <w:szCs w:val="22"/>
        </w:rPr>
        <w:t xml:space="preserve"> </w:t>
      </w:r>
      <w:r w:rsidR="001E1E98">
        <w:rPr>
          <w:rFonts w:asciiTheme="minorHAnsi" w:hAnsiTheme="minorHAnsi"/>
          <w:sz w:val="22"/>
          <w:szCs w:val="22"/>
        </w:rPr>
        <w:t>The</w:t>
      </w:r>
      <w:r w:rsidR="00845C76">
        <w:rPr>
          <w:rFonts w:asciiTheme="minorHAnsi" w:hAnsiTheme="minorHAnsi"/>
          <w:sz w:val="22"/>
          <w:szCs w:val="22"/>
        </w:rPr>
        <w:t xml:space="preserve"> overall</w:t>
      </w:r>
      <w:r w:rsidR="001E1E98">
        <w:rPr>
          <w:rFonts w:asciiTheme="minorHAnsi" w:hAnsiTheme="minorHAnsi"/>
          <w:sz w:val="22"/>
          <w:szCs w:val="22"/>
        </w:rPr>
        <w:t xml:space="preserve"> trophic status of South Sturgeon </w:t>
      </w:r>
      <w:r w:rsidR="00033682">
        <w:rPr>
          <w:rFonts w:asciiTheme="minorHAnsi" w:hAnsiTheme="minorHAnsi"/>
          <w:sz w:val="22"/>
          <w:szCs w:val="22"/>
        </w:rPr>
        <w:t>is mesotrophic</w:t>
      </w:r>
      <w:r w:rsidR="001E1E98">
        <w:rPr>
          <w:rFonts w:asciiTheme="minorHAnsi" w:hAnsiTheme="minorHAnsi"/>
          <w:sz w:val="22"/>
          <w:szCs w:val="22"/>
        </w:rPr>
        <w:t>,</w:t>
      </w:r>
      <w:r w:rsidR="00033682">
        <w:rPr>
          <w:rFonts w:asciiTheme="minorHAnsi" w:hAnsiTheme="minorHAnsi"/>
          <w:sz w:val="22"/>
          <w:szCs w:val="22"/>
        </w:rPr>
        <w:t xml:space="preserve"> </w:t>
      </w:r>
      <w:r w:rsidR="00845C76">
        <w:rPr>
          <w:rFonts w:asciiTheme="minorHAnsi" w:hAnsiTheme="minorHAnsi"/>
          <w:sz w:val="22"/>
          <w:szCs w:val="22"/>
        </w:rPr>
        <w:t>but with years like 2013 it is bordering eutrophic conditions where algae blooms can begin to become a problem during certain periods of the summer by restricting recreational use.</w:t>
      </w:r>
      <w:r w:rsidR="00415733">
        <w:rPr>
          <w:rFonts w:asciiTheme="minorHAnsi" w:hAnsiTheme="minorHAnsi"/>
          <w:sz w:val="22"/>
          <w:szCs w:val="22"/>
        </w:rPr>
        <w:t xml:space="preserve">  </w:t>
      </w:r>
      <w:r w:rsidR="003E4E0D" w:rsidRPr="00AD5775">
        <w:rPr>
          <w:rFonts w:asciiTheme="minorHAnsi" w:hAnsiTheme="minorHAnsi"/>
          <w:sz w:val="22"/>
          <w:szCs w:val="22"/>
        </w:rPr>
        <w:t>South Sturgeon</w:t>
      </w:r>
      <w:r w:rsidR="003E4E0D" w:rsidRPr="00FE3285">
        <w:rPr>
          <w:rFonts w:asciiTheme="minorHAnsi" w:hAnsiTheme="minorHAnsi"/>
          <w:sz w:val="22"/>
          <w:szCs w:val="22"/>
        </w:rPr>
        <w:t xml:space="preserve"> Lake</w:t>
      </w:r>
      <w:r w:rsidR="00AD5775">
        <w:rPr>
          <w:rFonts w:asciiTheme="minorHAnsi" w:hAnsiTheme="minorHAnsi"/>
          <w:sz w:val="22"/>
          <w:szCs w:val="22"/>
        </w:rPr>
        <w:t xml:space="preserve"> has a very</w:t>
      </w:r>
      <w:r w:rsidR="003E4E0D" w:rsidRPr="00FE3285">
        <w:rPr>
          <w:rFonts w:asciiTheme="minorHAnsi" w:hAnsiTheme="minorHAnsi"/>
          <w:sz w:val="22"/>
          <w:szCs w:val="22"/>
        </w:rPr>
        <w:t xml:space="preserve"> </w:t>
      </w:r>
      <w:r w:rsidR="003E4E0D" w:rsidRPr="00AD5775">
        <w:rPr>
          <w:rFonts w:asciiTheme="minorHAnsi" w:hAnsiTheme="minorHAnsi"/>
          <w:sz w:val="22"/>
          <w:szCs w:val="22"/>
        </w:rPr>
        <w:t>dark tannin</w:t>
      </w:r>
      <w:r w:rsidR="004B6FD0">
        <w:rPr>
          <w:rFonts w:asciiTheme="minorHAnsi" w:hAnsiTheme="minorHAnsi"/>
          <w:sz w:val="22"/>
          <w:szCs w:val="22"/>
        </w:rPr>
        <w:t xml:space="preserve"> (root beer)</w:t>
      </w:r>
      <w:r w:rsidR="003E4E0D" w:rsidRPr="00AD5775">
        <w:rPr>
          <w:rFonts w:asciiTheme="minorHAnsi" w:hAnsiTheme="minorHAnsi"/>
          <w:sz w:val="22"/>
          <w:szCs w:val="22"/>
        </w:rPr>
        <w:t xml:space="preserve"> stained </w:t>
      </w:r>
      <w:r w:rsidR="003E4E0D" w:rsidRPr="00FE3285">
        <w:rPr>
          <w:rFonts w:asciiTheme="minorHAnsi" w:hAnsiTheme="minorHAnsi"/>
          <w:sz w:val="22"/>
          <w:szCs w:val="22"/>
        </w:rPr>
        <w:t>color</w:t>
      </w:r>
      <w:r w:rsidR="00845C76">
        <w:rPr>
          <w:rFonts w:asciiTheme="minorHAnsi" w:hAnsiTheme="minorHAnsi"/>
          <w:sz w:val="22"/>
          <w:szCs w:val="22"/>
        </w:rPr>
        <w:t>,</w:t>
      </w:r>
      <w:r w:rsidR="003E4E0D" w:rsidRPr="00FE3285">
        <w:rPr>
          <w:rFonts w:asciiTheme="minorHAnsi" w:hAnsiTheme="minorHAnsi"/>
          <w:sz w:val="22"/>
          <w:szCs w:val="22"/>
        </w:rPr>
        <w:t xml:space="preserve"> </w:t>
      </w:r>
      <w:r w:rsidR="00AD5775">
        <w:rPr>
          <w:rFonts w:asciiTheme="minorHAnsi" w:hAnsiTheme="minorHAnsi"/>
          <w:sz w:val="22"/>
          <w:szCs w:val="22"/>
        </w:rPr>
        <w:t xml:space="preserve">which </w:t>
      </w:r>
      <w:r w:rsidR="00CE6FA4">
        <w:rPr>
          <w:rFonts w:asciiTheme="minorHAnsi" w:hAnsiTheme="minorHAnsi"/>
          <w:sz w:val="22"/>
          <w:szCs w:val="22"/>
        </w:rPr>
        <w:t xml:space="preserve">is natural </w:t>
      </w:r>
      <w:r w:rsidR="00845C76">
        <w:rPr>
          <w:rFonts w:asciiTheme="minorHAnsi" w:hAnsiTheme="minorHAnsi"/>
          <w:sz w:val="22"/>
          <w:szCs w:val="22"/>
        </w:rPr>
        <w:t>and</w:t>
      </w:r>
      <w:r w:rsidR="00CE6FA4">
        <w:rPr>
          <w:rFonts w:asciiTheme="minorHAnsi" w:hAnsiTheme="minorHAnsi"/>
          <w:sz w:val="22"/>
          <w:szCs w:val="22"/>
        </w:rPr>
        <w:t xml:space="preserve"> </w:t>
      </w:r>
      <w:r w:rsidR="002E63DE">
        <w:rPr>
          <w:rFonts w:asciiTheme="minorHAnsi" w:hAnsiTheme="minorHAnsi"/>
          <w:sz w:val="22"/>
          <w:szCs w:val="22"/>
        </w:rPr>
        <w:t>can actually benefit the lake b</w:t>
      </w:r>
      <w:r w:rsidR="004B6FD0">
        <w:rPr>
          <w:rFonts w:asciiTheme="minorHAnsi" w:hAnsiTheme="minorHAnsi"/>
          <w:sz w:val="22"/>
          <w:szCs w:val="22"/>
        </w:rPr>
        <w:t>ecause limited light penetration inhibits</w:t>
      </w:r>
      <w:r w:rsidR="002E63DE">
        <w:rPr>
          <w:rFonts w:asciiTheme="minorHAnsi" w:hAnsiTheme="minorHAnsi"/>
          <w:sz w:val="22"/>
          <w:szCs w:val="22"/>
        </w:rPr>
        <w:t xml:space="preserve"> algae growth.</w:t>
      </w:r>
    </w:p>
    <w:p w:rsidR="00103D84" w:rsidRDefault="00103D84" w:rsidP="002E63DE">
      <w:pPr>
        <w:pStyle w:val="NormalWeb"/>
        <w:spacing w:before="0" w:beforeAutospacing="0"/>
        <w:rPr>
          <w:rFonts w:asciiTheme="minorHAnsi" w:hAnsiTheme="minorHAnsi"/>
          <w:sz w:val="22"/>
          <w:szCs w:val="22"/>
        </w:rPr>
      </w:pPr>
    </w:p>
    <w:p w:rsidR="00AA5914" w:rsidRPr="00D84E86" w:rsidRDefault="00AA5914" w:rsidP="00AA5914">
      <w:pPr>
        <w:spacing w:after="60"/>
        <w:rPr>
          <w:b/>
        </w:rPr>
      </w:pPr>
      <w:r>
        <w:rPr>
          <w:b/>
        </w:rPr>
        <w:t>South Sturgeon</w:t>
      </w:r>
      <w:r w:rsidR="00E07322">
        <w:rPr>
          <w:b/>
        </w:rPr>
        <w:t xml:space="preserve"> Lake</w:t>
      </w:r>
      <w:r>
        <w:rPr>
          <w:b/>
        </w:rPr>
        <w:t xml:space="preserve"> Water Quality </w:t>
      </w:r>
    </w:p>
    <w:p w:rsidR="00AA5914" w:rsidRDefault="00AA5914" w:rsidP="00575002">
      <w:pPr>
        <w:spacing w:after="120"/>
        <w:jc w:val="center"/>
        <w:rPr>
          <w:b/>
        </w:rPr>
      </w:pPr>
    </w:p>
    <w:p w:rsidR="00DF5223" w:rsidRDefault="00541F29" w:rsidP="00575002">
      <w:pPr>
        <w:spacing w:after="120"/>
        <w:jc w:val="center"/>
        <w:rPr>
          <w:b/>
        </w:rPr>
      </w:pPr>
      <w:r w:rsidRPr="00541F29">
        <w:drawing>
          <wp:inline distT="0" distB="0" distL="0" distR="0">
            <wp:extent cx="6309360" cy="1765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9360" cy="1765935"/>
                    </a:xfrm>
                    <a:prstGeom prst="rect">
                      <a:avLst/>
                    </a:prstGeom>
                    <a:noFill/>
                    <a:ln>
                      <a:noFill/>
                    </a:ln>
                  </pic:spPr>
                </pic:pic>
              </a:graphicData>
            </a:graphic>
          </wp:inline>
        </w:drawing>
      </w:r>
    </w:p>
    <w:p w:rsidR="00DF5223" w:rsidRDefault="00DF5223" w:rsidP="00575002">
      <w:pPr>
        <w:spacing w:after="120"/>
        <w:jc w:val="center"/>
        <w:rPr>
          <w:b/>
        </w:rPr>
      </w:pPr>
    </w:p>
    <w:p w:rsidR="00DF5223" w:rsidRDefault="00DF5223" w:rsidP="00575002">
      <w:pPr>
        <w:spacing w:after="120"/>
        <w:jc w:val="center"/>
        <w:rPr>
          <w:b/>
        </w:rPr>
      </w:pPr>
    </w:p>
    <w:p w:rsidR="00DF5223" w:rsidRDefault="00DF5223" w:rsidP="00575002">
      <w:pPr>
        <w:spacing w:after="120"/>
        <w:jc w:val="center"/>
        <w:rPr>
          <w:b/>
        </w:rPr>
      </w:pPr>
    </w:p>
    <w:p w:rsidR="00DF5223" w:rsidRDefault="00DF5223" w:rsidP="009D1F6A">
      <w:pPr>
        <w:spacing w:after="120"/>
        <w:rPr>
          <w:b/>
        </w:rPr>
      </w:pPr>
    </w:p>
    <w:p w:rsidR="00541F29" w:rsidRDefault="00541F29" w:rsidP="009D1F6A">
      <w:pPr>
        <w:spacing w:after="120"/>
        <w:rPr>
          <w:b/>
        </w:rPr>
      </w:pPr>
    </w:p>
    <w:p w:rsidR="00CB5622" w:rsidRDefault="00CB5622" w:rsidP="009D1F6A">
      <w:pPr>
        <w:spacing w:after="120"/>
        <w:rPr>
          <w:b/>
        </w:rPr>
      </w:pPr>
    </w:p>
    <w:p w:rsidR="00DF5223" w:rsidRDefault="00DF5223" w:rsidP="00575002">
      <w:pPr>
        <w:spacing w:after="120"/>
        <w:jc w:val="center"/>
        <w:rPr>
          <w:b/>
        </w:rPr>
      </w:pPr>
    </w:p>
    <w:p w:rsidR="00AA5914" w:rsidRPr="00D84E86" w:rsidRDefault="00AA5914" w:rsidP="00AA5914">
      <w:pPr>
        <w:spacing w:after="120"/>
        <w:rPr>
          <w:b/>
        </w:rPr>
      </w:pPr>
      <w:r>
        <w:rPr>
          <w:b/>
        </w:rPr>
        <w:lastRenderedPageBreak/>
        <w:t>C</w:t>
      </w:r>
      <w:r w:rsidRPr="00D84E86">
        <w:rPr>
          <w:b/>
        </w:rPr>
        <w:t>arlson’s Trophic Status Index (TSI)</w:t>
      </w:r>
      <w:r w:rsidR="00575002">
        <w:rPr>
          <w:b/>
        </w:rPr>
        <w:t xml:space="preserve"> – South Sturgeon Lake Historical Average</w:t>
      </w:r>
    </w:p>
    <w:p w:rsidR="00181A29" w:rsidRPr="00FE3285" w:rsidRDefault="00DF5223" w:rsidP="00415733">
      <w:pPr>
        <w:spacing w:before="100" w:beforeAutospacing="1" w:after="100" w:afterAutospacing="1" w:line="240" w:lineRule="auto"/>
        <w:jc w:val="center"/>
        <w:rPr>
          <w:rFonts w:eastAsia="Times New Roman" w:cs="Times New Roman"/>
        </w:rPr>
      </w:pPr>
      <w:r w:rsidRPr="00DF5223">
        <w:rPr>
          <w:noProof/>
        </w:rPr>
        <w:drawing>
          <wp:inline distT="0" distB="0" distL="0" distR="0">
            <wp:extent cx="6309360" cy="40126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9360" cy="4012684"/>
                    </a:xfrm>
                    <a:prstGeom prst="rect">
                      <a:avLst/>
                    </a:prstGeom>
                    <a:noFill/>
                    <a:ln>
                      <a:noFill/>
                    </a:ln>
                  </pic:spPr>
                </pic:pic>
              </a:graphicData>
            </a:graphic>
          </wp:inline>
        </w:drawing>
      </w:r>
    </w:p>
    <w:p w:rsidR="00181A29" w:rsidRDefault="00696792" w:rsidP="00C72911">
      <w:pPr>
        <w:spacing w:before="100" w:beforeAutospacing="1" w:after="100" w:afterAutospacing="1" w:line="240" w:lineRule="auto"/>
        <w:rPr>
          <w:i/>
          <w:sz w:val="18"/>
        </w:rPr>
      </w:pPr>
      <w:r w:rsidRPr="00966353">
        <w:rPr>
          <w:i/>
          <w:sz w:val="18"/>
        </w:rPr>
        <w:t xml:space="preserve">Note: Trophic State Indices (TSIs) are an attempt to provide a single quantitative index for the purpose of classifying and ranking lakes, most often from the standpoint of assessing water quality.  TSIs ranges from clear lakes, low in nutrients (oligotrophic), to green lakes, with very high nutrient levels (hypereutrophic).  </w:t>
      </w:r>
    </w:p>
    <w:p w:rsidR="009D1F6A" w:rsidRPr="00966353" w:rsidRDefault="009D1F6A" w:rsidP="00C72911">
      <w:pPr>
        <w:spacing w:before="100" w:beforeAutospacing="1" w:after="100" w:afterAutospacing="1" w:line="240" w:lineRule="auto"/>
        <w:rPr>
          <w:i/>
          <w:sz w:val="18"/>
        </w:rPr>
      </w:pPr>
    </w:p>
    <w:p w:rsidR="0044671B" w:rsidRPr="00277405" w:rsidRDefault="0044671B" w:rsidP="00E354D0">
      <w:pPr>
        <w:pStyle w:val="Heading2"/>
        <w:spacing w:before="0" w:beforeAutospacing="0" w:after="60" w:afterAutospacing="0"/>
        <w:rPr>
          <w:rFonts w:asciiTheme="minorHAnsi" w:hAnsiTheme="minorHAnsi"/>
          <w:sz w:val="22"/>
          <w:szCs w:val="22"/>
        </w:rPr>
      </w:pPr>
      <w:r>
        <w:rPr>
          <w:rFonts w:asciiTheme="minorHAnsi" w:hAnsiTheme="minorHAnsi"/>
          <w:sz w:val="22"/>
          <w:szCs w:val="22"/>
        </w:rPr>
        <w:t xml:space="preserve">Historical </w:t>
      </w:r>
      <w:r w:rsidRPr="00277405">
        <w:rPr>
          <w:rFonts w:asciiTheme="minorHAnsi" w:hAnsiTheme="minorHAnsi"/>
          <w:sz w:val="22"/>
          <w:szCs w:val="22"/>
        </w:rPr>
        <w:t>Water Quality Summary</w:t>
      </w:r>
    </w:p>
    <w:p w:rsidR="001E1E98" w:rsidRDefault="0044671B" w:rsidP="0044671B">
      <w:pPr>
        <w:spacing w:after="0"/>
      </w:pPr>
      <w:r>
        <w:t>South Sturgeon Lake’s historical data for total phosphorus and chlorophyll-a do not meet the minimum requirements for looking</w:t>
      </w:r>
      <w:r w:rsidR="00575002">
        <w:t xml:space="preserve"> at trends.  There is however </w:t>
      </w:r>
      <w:r w:rsidR="00CB3E24" w:rsidRPr="00CB3E24">
        <w:t>29</w:t>
      </w:r>
      <w:r>
        <w:t xml:space="preserve"> years of secchi data</w:t>
      </w:r>
      <w:r w:rsidR="00E354D0">
        <w:t>,</w:t>
      </w:r>
      <w:r>
        <w:t xml:space="preserve"> which pr</w:t>
      </w:r>
      <w:r w:rsidR="008555B0">
        <w:t xml:space="preserve">ovides </w:t>
      </w:r>
      <w:r w:rsidR="00E354D0">
        <w:t>an excellent</w:t>
      </w:r>
      <w:r w:rsidR="008555B0">
        <w:t xml:space="preserve"> data</w:t>
      </w:r>
      <w:r w:rsidR="00E354D0">
        <w:t>base</w:t>
      </w:r>
      <w:r>
        <w:t xml:space="preserve"> to perform long term trend analysis.  </w:t>
      </w:r>
    </w:p>
    <w:p w:rsidR="001E1E98" w:rsidRDefault="001E1E98" w:rsidP="000F1994">
      <w:pPr>
        <w:spacing w:before="120" w:after="120"/>
        <w:ind w:left="720"/>
      </w:pPr>
      <w:r>
        <w:t>MPCA reports:</w:t>
      </w:r>
      <w:r w:rsidRPr="00C92D63">
        <w:rPr>
          <w:i/>
        </w:rPr>
        <w:t xml:space="preserve">  </w:t>
      </w:r>
      <w:r w:rsidR="00EF42EE" w:rsidRPr="00EF42EE">
        <w:rPr>
          <w:i/>
        </w:rPr>
        <w:t xml:space="preserve">The median transparency </w:t>
      </w:r>
      <w:r w:rsidR="00EF42EE">
        <w:rPr>
          <w:i/>
        </w:rPr>
        <w:t>of South Sturgeon</w:t>
      </w:r>
      <w:r w:rsidR="00EF42EE" w:rsidRPr="00EF42EE">
        <w:rPr>
          <w:i/>
        </w:rPr>
        <w:t xml:space="preserve"> from 1981 to 2011 increased by 0.00 feet per decade. Given the variability over these years, there is no evidence yet of a long-term trend in either direction. A plausible range for the long-term trend is between a decrease of 0.35 and an increase of 0.29 feet per decade.</w:t>
      </w:r>
    </w:p>
    <w:p w:rsidR="0044671B" w:rsidRDefault="00EF42EE" w:rsidP="0044671B">
      <w:pPr>
        <w:spacing w:after="0"/>
      </w:pPr>
      <w:r>
        <w:t>B</w:t>
      </w:r>
      <w:r w:rsidR="00741EDF">
        <w:t>asically</w:t>
      </w:r>
      <w:r w:rsidR="00517184">
        <w:t>,</w:t>
      </w:r>
      <w:r w:rsidR="00741EDF">
        <w:t xml:space="preserve"> </w:t>
      </w:r>
      <w:r w:rsidR="00517184">
        <w:t xml:space="preserve">amidst the highs and lows, </w:t>
      </w:r>
      <w:r w:rsidR="00741EDF">
        <w:t xml:space="preserve">the lake’s water clarity has remained </w:t>
      </w:r>
      <w:r w:rsidR="00CB3E24">
        <w:t xml:space="preserve">mostly </w:t>
      </w:r>
      <w:r w:rsidR="00575002">
        <w:t>stable</w:t>
      </w:r>
      <w:r w:rsidR="00CB3E24">
        <w:t xml:space="preserve"> since 1988</w:t>
      </w:r>
      <w:r w:rsidR="00741EDF" w:rsidRPr="00741EDF">
        <w:t>.</w:t>
      </w:r>
      <w:r w:rsidR="008555B0">
        <w:t xml:space="preserve"> </w:t>
      </w:r>
      <w:r w:rsidR="0044671B">
        <w:t xml:space="preserve">  </w:t>
      </w:r>
      <w:r w:rsidR="00A77A8D">
        <w:t>That being said, w</w:t>
      </w:r>
      <w:r w:rsidR="00575002">
        <w:t>hen we look at trends since 1997</w:t>
      </w:r>
      <w:r w:rsidR="00A77A8D">
        <w:t>, we do start seeing a negative trend and a loss in depth of water clarity (how dee</w:t>
      </w:r>
      <w:r w:rsidR="00415733">
        <w:t xml:space="preserve">p we can see the secchi disk).  </w:t>
      </w:r>
      <w:r w:rsidR="00A77A8D">
        <w:t xml:space="preserve">This negative trend is </w:t>
      </w:r>
      <w:r w:rsidR="00F23E6C">
        <w:t xml:space="preserve">primarily </w:t>
      </w:r>
      <w:r w:rsidR="00A77A8D">
        <w:t>driven by the poor w</w:t>
      </w:r>
      <w:r w:rsidR="00415733">
        <w:t>ater clarity years in 2011-12</w:t>
      </w:r>
      <w:r w:rsidR="00CB3E24">
        <w:t xml:space="preserve"> and 2014</w:t>
      </w:r>
      <w:r w:rsidR="00415733">
        <w:t xml:space="preserve">.  </w:t>
      </w:r>
      <w:r w:rsidR="00A77A8D">
        <w:t>Continued monitoring is important to substantiate this trend</w:t>
      </w:r>
      <w:r w:rsidR="00F23E6C">
        <w:t>,</w:t>
      </w:r>
      <w:r w:rsidR="00A77A8D">
        <w:t xml:space="preserve"> </w:t>
      </w:r>
      <w:r w:rsidR="002457F6">
        <w:t>which could be due to natural variatio</w:t>
      </w:r>
      <w:r w:rsidR="00CB3E24">
        <w:t>n since the full record shows only a weak declining</w:t>
      </w:r>
      <w:r w:rsidR="002457F6">
        <w:t xml:space="preserve"> trend</w:t>
      </w:r>
      <w:r w:rsidR="00A77A8D">
        <w:t>.</w:t>
      </w:r>
    </w:p>
    <w:p w:rsidR="00181A29" w:rsidRPr="00FE3285" w:rsidRDefault="00CB3E24" w:rsidP="00575002">
      <w:pPr>
        <w:spacing w:before="100" w:beforeAutospacing="1" w:after="100" w:afterAutospacing="1" w:line="240" w:lineRule="auto"/>
        <w:jc w:val="center"/>
        <w:rPr>
          <w:rFonts w:eastAsia="Times New Roman" w:cs="Times New Roman"/>
          <w:sz w:val="18"/>
          <w:szCs w:val="24"/>
        </w:rPr>
      </w:pPr>
      <w:r>
        <w:rPr>
          <w:rFonts w:eastAsia="Times New Roman" w:cs="Times New Roman"/>
          <w:noProof/>
          <w:sz w:val="18"/>
          <w:szCs w:val="24"/>
        </w:rPr>
        <w:lastRenderedPageBreak/>
        <w:drawing>
          <wp:inline distT="0" distB="0" distL="0" distR="0" wp14:anchorId="53CBE682">
            <wp:extent cx="6128013" cy="3543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3113" cy="3557813"/>
                    </a:xfrm>
                    <a:prstGeom prst="rect">
                      <a:avLst/>
                    </a:prstGeom>
                    <a:noFill/>
                  </pic:spPr>
                </pic:pic>
              </a:graphicData>
            </a:graphic>
          </wp:inline>
        </w:drawing>
      </w:r>
    </w:p>
    <w:p w:rsidR="007528C0" w:rsidRPr="007528C0" w:rsidRDefault="007528C0" w:rsidP="007528C0">
      <w:pPr>
        <w:spacing w:after="0"/>
        <w:rPr>
          <w:i/>
          <w:sz w:val="18"/>
        </w:rPr>
      </w:pPr>
      <w:r w:rsidRPr="007528C0">
        <w:rPr>
          <w:i/>
          <w:sz w:val="18"/>
        </w:rPr>
        <w:t xml:space="preserve">Note: For detecting trends, a minimum of 8-10 years of data with 4 or more readings per season are recommended. Minimum confidence accepted by the MPCA is 90%. This means that there is a 90% chance that the data are showing a true trend and a 10% chance that the trend is a random result of the data.  </w:t>
      </w:r>
    </w:p>
    <w:p w:rsidR="007528C0" w:rsidRDefault="007528C0" w:rsidP="00FB691D">
      <w:pPr>
        <w:spacing w:after="60"/>
        <w:rPr>
          <w:b/>
        </w:rPr>
      </w:pPr>
    </w:p>
    <w:p w:rsidR="0044671B" w:rsidRPr="00824343" w:rsidRDefault="0044671B" w:rsidP="00FB691D">
      <w:pPr>
        <w:spacing w:after="60"/>
        <w:rPr>
          <w:b/>
        </w:rPr>
      </w:pPr>
      <w:r w:rsidRPr="00824343">
        <w:rPr>
          <w:b/>
        </w:rPr>
        <w:t>Monitoring Recommendations</w:t>
      </w:r>
    </w:p>
    <w:p w:rsidR="002E2B26" w:rsidRDefault="0044671B" w:rsidP="002E2B26">
      <w:pPr>
        <w:spacing w:after="0"/>
      </w:pPr>
      <w:r>
        <w:t>Transparency monitoring at site 20</w:t>
      </w:r>
      <w:r w:rsidR="00EF42EE">
        <w:t>1</w:t>
      </w:r>
      <w:r w:rsidR="00415733">
        <w:t xml:space="preserve"> should be continued annually.  </w:t>
      </w:r>
      <w:r>
        <w:t xml:space="preserve">It is important to continue transparency monitoring </w:t>
      </w:r>
      <w:r w:rsidR="00575002">
        <w:t xml:space="preserve">bi-weekly or at least </w:t>
      </w:r>
      <w:r>
        <w:t xml:space="preserve">monthly every year to enable year-to-year comparisons and </w:t>
      </w:r>
      <w:r w:rsidR="00845C76">
        <w:t xml:space="preserve">to determine if the negative </w:t>
      </w:r>
      <w:r>
        <w:t>trend analyses</w:t>
      </w:r>
      <w:r w:rsidR="00845C76">
        <w:t xml:space="preserve"> is significant</w:t>
      </w:r>
      <w:r w:rsidR="00CB3E24">
        <w:t xml:space="preserve"> moving forward</w:t>
      </w:r>
      <w:r w:rsidR="00415733">
        <w:t xml:space="preserve">.  </w:t>
      </w:r>
      <w:r w:rsidR="00AF7E61">
        <w:t xml:space="preserve">It is also recommended that </w:t>
      </w:r>
      <w:r w:rsidR="00EF42EE">
        <w:t>phosphorus and chlorophyll a monitoring should continue at site 201</w:t>
      </w:r>
      <w:r w:rsidR="00961359">
        <w:t xml:space="preserve"> </w:t>
      </w:r>
      <w:r w:rsidR="00114090">
        <w:t>every 2-3 years</w:t>
      </w:r>
      <w:r w:rsidR="00EF42EE">
        <w:t xml:space="preserve"> or as the budget allows, to track future water quality trends</w:t>
      </w:r>
      <w:r w:rsidR="00961359">
        <w:t xml:space="preserve"> and </w:t>
      </w:r>
      <w:r w:rsidR="00575002">
        <w:t xml:space="preserve">to </w:t>
      </w:r>
      <w:r w:rsidR="00961359">
        <w:t xml:space="preserve">determine if the declining trend in </w:t>
      </w:r>
      <w:r w:rsidR="00575002">
        <w:t xml:space="preserve">water </w:t>
      </w:r>
      <w:r w:rsidR="00961359">
        <w:t>clarity is an indication of a declining trend in water quality</w:t>
      </w:r>
      <w:r w:rsidR="00CB3E24">
        <w:t xml:space="preserve"> with strong references to the other parameters</w:t>
      </w:r>
      <w:r w:rsidR="00EF42EE">
        <w:t xml:space="preserve">. </w:t>
      </w:r>
      <w:r w:rsidR="002E2B26">
        <w:t xml:space="preserve">RMB Labs, based in Detroit Lakes would be a recommended resource for Water Quality lab services as well as statistical reporting.  RMB has a highly skilled staff with a robust background in statistics and chemistry, coupled with a convenient sample transport system between </w:t>
      </w:r>
      <w:proofErr w:type="spellStart"/>
      <w:r w:rsidR="002E2B26">
        <w:t>Spee</w:t>
      </w:r>
      <w:proofErr w:type="spellEnd"/>
      <w:r w:rsidR="002E2B26">
        <w:t>-Dee Delivery Services and RMB Labs.  RMB has opened a sister Water Quality Lab at Itasca Community College as of January 2016, and will be a good local resource for general water quality analysis.</w:t>
      </w:r>
    </w:p>
    <w:p w:rsidR="0044671B" w:rsidRDefault="00EF42EE" w:rsidP="0044671B">
      <w:pPr>
        <w:spacing w:after="0"/>
      </w:pPr>
      <w:r>
        <w:t xml:space="preserve"> </w:t>
      </w:r>
      <w:bookmarkStart w:id="0" w:name="_GoBack"/>
      <w:bookmarkEnd w:id="0"/>
    </w:p>
    <w:sectPr w:rsidR="0044671B" w:rsidSect="002E63DE">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72911"/>
    <w:rsid w:val="00033682"/>
    <w:rsid w:val="000968AF"/>
    <w:rsid w:val="000A317D"/>
    <w:rsid w:val="000F1994"/>
    <w:rsid w:val="00103D84"/>
    <w:rsid w:val="00114090"/>
    <w:rsid w:val="00181A29"/>
    <w:rsid w:val="00190DCA"/>
    <w:rsid w:val="001E1E98"/>
    <w:rsid w:val="0021109A"/>
    <w:rsid w:val="00211CFF"/>
    <w:rsid w:val="002457F6"/>
    <w:rsid w:val="002772E8"/>
    <w:rsid w:val="002E2B26"/>
    <w:rsid w:val="002E63DE"/>
    <w:rsid w:val="003504FD"/>
    <w:rsid w:val="00371B01"/>
    <w:rsid w:val="00394B6D"/>
    <w:rsid w:val="003B4CE3"/>
    <w:rsid w:val="003C37E0"/>
    <w:rsid w:val="003E4E0D"/>
    <w:rsid w:val="00415733"/>
    <w:rsid w:val="0044671B"/>
    <w:rsid w:val="00447201"/>
    <w:rsid w:val="004474F2"/>
    <w:rsid w:val="0048024B"/>
    <w:rsid w:val="004B6FD0"/>
    <w:rsid w:val="004C1170"/>
    <w:rsid w:val="00517184"/>
    <w:rsid w:val="005411E7"/>
    <w:rsid w:val="00541F29"/>
    <w:rsid w:val="00573289"/>
    <w:rsid w:val="00575002"/>
    <w:rsid w:val="005B5117"/>
    <w:rsid w:val="005D1C64"/>
    <w:rsid w:val="00644D4F"/>
    <w:rsid w:val="00696792"/>
    <w:rsid w:val="006E48E5"/>
    <w:rsid w:val="00741EDF"/>
    <w:rsid w:val="007528C0"/>
    <w:rsid w:val="007736FB"/>
    <w:rsid w:val="007A4762"/>
    <w:rsid w:val="007F27AE"/>
    <w:rsid w:val="00845C76"/>
    <w:rsid w:val="008555B0"/>
    <w:rsid w:val="008B6CAF"/>
    <w:rsid w:val="008E7C9F"/>
    <w:rsid w:val="00910388"/>
    <w:rsid w:val="00961359"/>
    <w:rsid w:val="00966353"/>
    <w:rsid w:val="009D1F6A"/>
    <w:rsid w:val="009E5921"/>
    <w:rsid w:val="00A64FBA"/>
    <w:rsid w:val="00A77A8D"/>
    <w:rsid w:val="00A909AD"/>
    <w:rsid w:val="00AA5914"/>
    <w:rsid w:val="00AD3CCB"/>
    <w:rsid w:val="00AD3D2A"/>
    <w:rsid w:val="00AD5775"/>
    <w:rsid w:val="00AF7E61"/>
    <w:rsid w:val="00B310B1"/>
    <w:rsid w:val="00BC49B0"/>
    <w:rsid w:val="00BD07F6"/>
    <w:rsid w:val="00C3624F"/>
    <w:rsid w:val="00C54957"/>
    <w:rsid w:val="00C67D8B"/>
    <w:rsid w:val="00C72911"/>
    <w:rsid w:val="00C82F00"/>
    <w:rsid w:val="00CB3E24"/>
    <w:rsid w:val="00CB5622"/>
    <w:rsid w:val="00CE6FA4"/>
    <w:rsid w:val="00DE712E"/>
    <w:rsid w:val="00DF5223"/>
    <w:rsid w:val="00E07322"/>
    <w:rsid w:val="00E25547"/>
    <w:rsid w:val="00E354D0"/>
    <w:rsid w:val="00EA4A96"/>
    <w:rsid w:val="00EC1C9A"/>
    <w:rsid w:val="00EC4DA6"/>
    <w:rsid w:val="00EF42EE"/>
    <w:rsid w:val="00F15D0B"/>
    <w:rsid w:val="00F23E6C"/>
    <w:rsid w:val="00F55774"/>
    <w:rsid w:val="00FB691D"/>
    <w:rsid w:val="00FC518C"/>
    <w:rsid w:val="00FE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70FA"/>
  <w15:docId w15:val="{08B159A3-275F-4B81-9A62-8C361281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09A"/>
  </w:style>
  <w:style w:type="paragraph" w:styleId="Heading2">
    <w:name w:val="heading 2"/>
    <w:basedOn w:val="Normal"/>
    <w:link w:val="Heading2Char"/>
    <w:uiPriority w:val="9"/>
    <w:qFormat/>
    <w:rsid w:val="00C729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911"/>
    <w:rPr>
      <w:rFonts w:ascii="Tahoma" w:hAnsi="Tahoma" w:cs="Tahoma"/>
      <w:sz w:val="16"/>
      <w:szCs w:val="16"/>
    </w:rPr>
  </w:style>
  <w:style w:type="character" w:customStyle="1" w:styleId="Heading2Char">
    <w:name w:val="Heading 2 Char"/>
    <w:basedOn w:val="DefaultParagraphFont"/>
    <w:link w:val="Heading2"/>
    <w:uiPriority w:val="9"/>
    <w:rsid w:val="00C72911"/>
    <w:rPr>
      <w:rFonts w:ascii="Times New Roman" w:eastAsia="Times New Roman" w:hAnsi="Times New Roman" w:cs="Times New Roman"/>
      <w:b/>
      <w:bCs/>
      <w:sz w:val="36"/>
      <w:szCs w:val="36"/>
    </w:rPr>
  </w:style>
  <w:style w:type="character" w:customStyle="1" w:styleId="bodygray">
    <w:name w:val="bodygray"/>
    <w:basedOn w:val="DefaultParagraphFont"/>
    <w:rsid w:val="00C72911"/>
  </w:style>
  <w:style w:type="paragraph" w:styleId="NormalWeb">
    <w:name w:val="Normal (Web)"/>
    <w:basedOn w:val="Normal"/>
    <w:uiPriority w:val="99"/>
    <w:unhideWhenUsed/>
    <w:rsid w:val="00C729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2911"/>
    <w:rPr>
      <w:b/>
      <w:bCs/>
    </w:rPr>
  </w:style>
  <w:style w:type="character" w:customStyle="1" w:styleId="bodymidblue">
    <w:name w:val="bodymidblue"/>
    <w:basedOn w:val="DefaultParagraphFont"/>
    <w:rsid w:val="00C72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93593">
      <w:bodyDiv w:val="1"/>
      <w:marLeft w:val="0"/>
      <w:marRight w:val="0"/>
      <w:marTop w:val="0"/>
      <w:marBottom w:val="0"/>
      <w:divBdr>
        <w:top w:val="none" w:sz="0" w:space="0" w:color="auto"/>
        <w:left w:val="none" w:sz="0" w:space="0" w:color="auto"/>
        <w:bottom w:val="none" w:sz="0" w:space="0" w:color="auto"/>
        <w:right w:val="none" w:sz="0" w:space="0" w:color="auto"/>
      </w:divBdr>
    </w:div>
    <w:div w:id="761489426">
      <w:bodyDiv w:val="1"/>
      <w:marLeft w:val="0"/>
      <w:marRight w:val="0"/>
      <w:marTop w:val="0"/>
      <w:marBottom w:val="0"/>
      <w:divBdr>
        <w:top w:val="none" w:sz="0" w:space="0" w:color="auto"/>
        <w:left w:val="none" w:sz="0" w:space="0" w:color="auto"/>
        <w:bottom w:val="none" w:sz="0" w:space="0" w:color="auto"/>
        <w:right w:val="none" w:sz="0" w:space="0" w:color="auto"/>
      </w:divBdr>
    </w:div>
    <w:div w:id="1124421711">
      <w:bodyDiv w:val="1"/>
      <w:marLeft w:val="0"/>
      <w:marRight w:val="0"/>
      <w:marTop w:val="0"/>
      <w:marBottom w:val="0"/>
      <w:divBdr>
        <w:top w:val="none" w:sz="0" w:space="0" w:color="auto"/>
        <w:left w:val="none" w:sz="0" w:space="0" w:color="auto"/>
        <w:bottom w:val="none" w:sz="0" w:space="0" w:color="auto"/>
        <w:right w:val="none" w:sz="0" w:space="0" w:color="auto"/>
      </w:divBdr>
    </w:div>
    <w:div w:id="1794981558">
      <w:bodyDiv w:val="1"/>
      <w:marLeft w:val="0"/>
      <w:marRight w:val="0"/>
      <w:marTop w:val="0"/>
      <w:marBottom w:val="0"/>
      <w:divBdr>
        <w:top w:val="none" w:sz="0" w:space="0" w:color="auto"/>
        <w:left w:val="none" w:sz="0" w:space="0" w:color="auto"/>
        <w:bottom w:val="none" w:sz="0" w:space="0" w:color="auto"/>
        <w:right w:val="none" w:sz="0" w:space="0" w:color="auto"/>
      </w:divBdr>
    </w:div>
    <w:div w:id="1892233773">
      <w:bodyDiv w:val="1"/>
      <w:marLeft w:val="0"/>
      <w:marRight w:val="0"/>
      <w:marTop w:val="0"/>
      <w:marBottom w:val="0"/>
      <w:divBdr>
        <w:top w:val="none" w:sz="0" w:space="0" w:color="auto"/>
        <w:left w:val="none" w:sz="0" w:space="0" w:color="auto"/>
        <w:bottom w:val="none" w:sz="0" w:space="0" w:color="auto"/>
        <w:right w:val="none" w:sz="0" w:space="0" w:color="auto"/>
      </w:divBdr>
      <w:divsChild>
        <w:div w:id="1610043013">
          <w:marLeft w:val="0"/>
          <w:marRight w:val="0"/>
          <w:marTop w:val="0"/>
          <w:marBottom w:val="0"/>
          <w:divBdr>
            <w:top w:val="single" w:sz="4" w:space="0" w:color="000000"/>
            <w:left w:val="single" w:sz="4" w:space="0" w:color="000000"/>
            <w:bottom w:val="single" w:sz="4" w:space="0" w:color="000000"/>
            <w:right w:val="single" w:sz="4" w:space="0" w:color="000000"/>
          </w:divBdr>
          <w:divsChild>
            <w:div w:id="1987657842">
              <w:marLeft w:val="0"/>
              <w:marRight w:val="0"/>
              <w:marTop w:val="0"/>
              <w:marBottom w:val="0"/>
              <w:divBdr>
                <w:top w:val="none" w:sz="0" w:space="0" w:color="auto"/>
                <w:left w:val="none" w:sz="0" w:space="0" w:color="auto"/>
                <w:bottom w:val="none" w:sz="0" w:space="0" w:color="auto"/>
                <w:right w:val="none" w:sz="0" w:space="0" w:color="auto"/>
              </w:divBdr>
              <w:divsChild>
                <w:div w:id="10296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ngriese</dc:creator>
  <cp:lastModifiedBy>Kim Yankowiak</cp:lastModifiedBy>
  <cp:revision>11</cp:revision>
  <cp:lastPrinted>2014-03-04T17:39:00Z</cp:lastPrinted>
  <dcterms:created xsi:type="dcterms:W3CDTF">2015-02-27T20:35:00Z</dcterms:created>
  <dcterms:modified xsi:type="dcterms:W3CDTF">2016-02-02T20:54:00Z</dcterms:modified>
</cp:coreProperties>
</file>